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9"/>
        <w:rPr>
          <w:rFonts w:ascii="Times New Roman"/>
        </w:rPr>
      </w:pPr>
    </w:p>
    <w:p>
      <w:pPr>
        <w:pStyle w:val="Heading1"/>
      </w:pPr>
      <w:r>
        <w:rPr/>
        <w:t>MEDIA</w:t>
      </w:r>
      <w:r>
        <w:rPr>
          <w:spacing w:val="-2"/>
        </w:rPr>
        <w:t> STATEMENT</w:t>
      </w:r>
    </w:p>
    <w:p>
      <w:pPr>
        <w:pStyle w:val="BodyText"/>
        <w:spacing w:before="28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TNPA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EXPANDS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WESTERN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PORTS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MEET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INDUSTRY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DEMAND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line="360" w:lineRule="auto"/>
        <w:ind w:left="100" w:right="112"/>
        <w:jc w:val="both"/>
      </w:pPr>
      <w:r>
        <w:rPr>
          <w:b/>
        </w:rPr>
        <w:t>[Cape Town, 26 February 2024] </w:t>
      </w:r>
      <w:r>
        <w:rPr/>
        <w:t>In its ongoing drive for port expansion and operational performance</w:t>
      </w:r>
      <w:r>
        <w:rPr>
          <w:spacing w:val="-9"/>
        </w:rPr>
        <w:t> </w:t>
      </w:r>
      <w:r>
        <w:rPr/>
        <w:t>improvement,</w:t>
      </w:r>
      <w:r>
        <w:rPr>
          <w:spacing w:val="-6"/>
        </w:rPr>
        <w:t> </w:t>
      </w:r>
      <w:r>
        <w:rPr/>
        <w:t>Transnet</w:t>
      </w:r>
      <w:r>
        <w:rPr>
          <w:spacing w:val="-7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Ports</w:t>
      </w:r>
      <w:r>
        <w:rPr>
          <w:spacing w:val="-7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(TNPA)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repositioning</w:t>
      </w:r>
      <w:r>
        <w:rPr>
          <w:spacing w:val="-7"/>
        </w:rPr>
        <w:t> </w:t>
      </w:r>
      <w:r>
        <w:rPr/>
        <w:t>its</w:t>
      </w:r>
      <w:r>
        <w:rPr>
          <w:spacing w:val="-7"/>
        </w:rPr>
        <w:t> </w:t>
      </w:r>
      <w:r>
        <w:rPr/>
        <w:t>Western Region ports of Cape Town, Mossel Bay and Saldanha for the provision of world-class port infrastructure to support the regions’ booming shipping demand.</w:t>
      </w:r>
    </w:p>
    <w:p>
      <w:pPr>
        <w:pStyle w:val="BodyText"/>
        <w:spacing w:before="133"/>
      </w:pPr>
    </w:p>
    <w:p>
      <w:pPr>
        <w:pStyle w:val="BodyText"/>
        <w:spacing w:line="360" w:lineRule="auto"/>
        <w:ind w:left="100" w:right="112"/>
        <w:jc w:val="both"/>
      </w:pPr>
      <w:r>
        <w:rPr/>
        <w:t>Projects in the pipeline include Phase2B of the Cape Town Container Terminal expansion at the Port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Cape</w:t>
      </w:r>
      <w:r>
        <w:rPr>
          <w:spacing w:val="-10"/>
        </w:rPr>
        <w:t> </w:t>
      </w:r>
      <w:r>
        <w:rPr/>
        <w:t>Town.</w:t>
      </w:r>
      <w:r>
        <w:rPr>
          <w:spacing w:val="-6"/>
        </w:rPr>
        <w:t> </w:t>
      </w:r>
      <w:r>
        <w:rPr/>
        <w:t>As</w:t>
      </w:r>
      <w:r>
        <w:rPr>
          <w:spacing w:val="-9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project,</w:t>
      </w:r>
      <w:r>
        <w:rPr>
          <w:spacing w:val="-6"/>
        </w:rPr>
        <w:t> </w:t>
      </w:r>
      <w:r>
        <w:rPr/>
        <w:t>TNPA</w:t>
      </w:r>
      <w:r>
        <w:rPr>
          <w:spacing w:val="-9"/>
        </w:rPr>
        <w:t> </w:t>
      </w:r>
      <w:r>
        <w:rPr/>
        <w:t>is</w:t>
      </w:r>
      <w:r>
        <w:rPr>
          <w:spacing w:val="-12"/>
        </w:rPr>
        <w:t> </w:t>
      </w:r>
      <w:r>
        <w:rPr/>
        <w:t>currently</w:t>
      </w:r>
      <w:r>
        <w:rPr>
          <w:spacing w:val="-5"/>
        </w:rPr>
        <w:t> </w:t>
      </w:r>
      <w:r>
        <w:rPr/>
        <w:t>finalising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design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rail infrastructure upgrade - a key deliverable that will enable the construction phase. The design work will be completed by December 2024.</w:t>
      </w:r>
      <w:r>
        <w:rPr>
          <w:spacing w:val="40"/>
        </w:rPr>
        <w:t> </w:t>
      </w:r>
      <w:r>
        <w:rPr/>
        <w:t>The project scope also includes container stack upgrade as well as a truck staging area and automation.</w:t>
      </w:r>
    </w:p>
    <w:p>
      <w:pPr>
        <w:pStyle w:val="BodyText"/>
        <w:spacing w:before="134"/>
      </w:pPr>
    </w:p>
    <w:p>
      <w:pPr>
        <w:pStyle w:val="BodyText"/>
        <w:spacing w:line="360" w:lineRule="auto"/>
        <w:ind w:left="100" w:right="112"/>
        <w:jc w:val="both"/>
      </w:pPr>
      <w:r>
        <w:rPr/>
        <w:t>The expansion will see a capacity increase from 1 million TEU to 1.4 million TEU, with an investment value of approximately R1.775 billion. Project commencement is planned for September 2025.</w:t>
      </w:r>
    </w:p>
    <w:p>
      <w:pPr>
        <w:pStyle w:val="BodyText"/>
        <w:spacing w:before="133"/>
      </w:pPr>
    </w:p>
    <w:p>
      <w:pPr>
        <w:pStyle w:val="BodyText"/>
        <w:spacing w:line="360" w:lineRule="auto"/>
        <w:ind w:left="100" w:right="111"/>
        <w:jc w:val="both"/>
      </w:pPr>
      <w:r>
        <w:rPr/>
        <w:t>TNPA is also reviewing and finalising precinct plans for the Culemborg Intermodal Logistics Precinct Development in the Port of Cape Town, and that will be followed by a request for proposals during the 2024/25 financial year. This project will culminate in the development of land parcels near the port to create additional back of port capacity.</w:t>
      </w:r>
    </w:p>
    <w:p>
      <w:pPr>
        <w:pStyle w:val="BodyText"/>
        <w:spacing w:before="134"/>
      </w:pPr>
    </w:p>
    <w:p>
      <w:pPr>
        <w:pStyle w:val="BodyText"/>
        <w:spacing w:line="360" w:lineRule="auto"/>
        <w:ind w:left="100" w:right="112"/>
        <w:jc w:val="both"/>
      </w:pPr>
      <w:r>
        <w:rPr/>
        <w:t>Key</w:t>
      </w:r>
      <w:r>
        <w:rPr>
          <w:spacing w:val="-1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Port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Saldanha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extension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multi-purpose</w:t>
      </w:r>
      <w:r>
        <w:rPr>
          <w:spacing w:val="-3"/>
        </w:rPr>
        <w:t> </w:t>
      </w:r>
      <w:r>
        <w:rPr/>
        <w:t>terminal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 development of berth 205, which will cater for rig repairs. The new berth will also provide additional capacity for break bulk operations.</w:t>
      </w:r>
    </w:p>
    <w:p>
      <w:pPr>
        <w:pStyle w:val="BodyText"/>
        <w:spacing w:before="130"/>
      </w:pPr>
    </w:p>
    <w:p>
      <w:pPr>
        <w:pStyle w:val="BodyText"/>
        <w:spacing w:line="360" w:lineRule="auto" w:before="1"/>
        <w:ind w:left="100" w:right="112"/>
        <w:jc w:val="both"/>
      </w:pPr>
      <w:r>
        <w:rPr/>
        <w:t>Meanwhile, strategic initiatives in the Port of Mossel Bay include the construction of the cruise reception</w:t>
      </w:r>
      <w:r>
        <w:rPr>
          <w:spacing w:val="-18"/>
        </w:rPr>
        <w:t> </w:t>
      </w:r>
      <w:r>
        <w:rPr/>
        <w:t>facility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enable</w:t>
      </w:r>
      <w:r>
        <w:rPr>
          <w:spacing w:val="-17"/>
        </w:rPr>
        <w:t> </w:t>
      </w:r>
      <w:r>
        <w:rPr/>
        <w:t>international</w:t>
      </w:r>
      <w:r>
        <w:rPr>
          <w:spacing w:val="-17"/>
        </w:rPr>
        <w:t> </w:t>
      </w:r>
      <w:r>
        <w:rPr/>
        <w:t>cruise</w:t>
      </w:r>
      <w:r>
        <w:rPr>
          <w:spacing w:val="-18"/>
        </w:rPr>
        <w:t> </w:t>
      </w:r>
      <w:r>
        <w:rPr/>
        <w:t>vessels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call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port.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slipway</w:t>
      </w:r>
      <w:r>
        <w:rPr>
          <w:spacing w:val="-17"/>
        </w:rPr>
        <w:t> </w:t>
      </w:r>
      <w:r>
        <w:rPr/>
        <w:t>rehabilitation project planned for 2024/25 financial year will increase the port’s slipway and cradle capacity from 200 to 500 tons.</w:t>
      </w:r>
    </w:p>
    <w:p>
      <w:pPr>
        <w:spacing w:after="0" w:line="360" w:lineRule="auto"/>
        <w:jc w:val="both"/>
        <w:sectPr>
          <w:type w:val="continuous"/>
          <w:pgSz w:w="12240" w:h="15840"/>
          <w:pgMar w:top="380" w:bottom="280" w:left="1340" w:right="13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360" w:lineRule="auto"/>
        <w:ind w:left="100" w:right="111"/>
        <w:jc w:val="both"/>
      </w:pPr>
      <w:r>
        <w:rPr/>
        <w:t>“The execution of these projects is not only a demonstration of our commitment to investing in the creation of addition port capacity, but also critical for the Ports Authority to respond to the need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improve</w:t>
      </w:r>
      <w:r>
        <w:rPr>
          <w:spacing w:val="-12"/>
        </w:rPr>
        <w:t> </w:t>
      </w:r>
      <w:r>
        <w:rPr/>
        <w:t>operational</w:t>
      </w:r>
      <w:r>
        <w:rPr>
          <w:spacing w:val="-10"/>
        </w:rPr>
        <w:t> </w:t>
      </w:r>
      <w:r>
        <w:rPr/>
        <w:t>performance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South</w:t>
      </w:r>
      <w:r>
        <w:rPr>
          <w:spacing w:val="-11"/>
        </w:rPr>
        <w:t> </w:t>
      </w:r>
      <w:r>
        <w:rPr/>
        <w:t>African</w:t>
      </w:r>
      <w:r>
        <w:rPr>
          <w:spacing w:val="-12"/>
        </w:rPr>
        <w:t> </w:t>
      </w:r>
      <w:r>
        <w:rPr/>
        <w:t>ports,”</w:t>
      </w:r>
      <w:r>
        <w:rPr>
          <w:spacing w:val="-11"/>
        </w:rPr>
        <w:t> </w:t>
      </w:r>
      <w:r>
        <w:rPr/>
        <w:t>said</w:t>
      </w:r>
      <w:r>
        <w:rPr>
          <w:spacing w:val="-13"/>
        </w:rPr>
        <w:t> </w:t>
      </w:r>
      <w:r>
        <w:rPr/>
        <w:t>acting</w:t>
      </w:r>
      <w:r>
        <w:rPr>
          <w:spacing w:val="-11"/>
        </w:rPr>
        <w:t> </w:t>
      </w:r>
      <w:r>
        <w:rPr/>
        <w:t>TNPA</w:t>
      </w:r>
      <w:r>
        <w:rPr>
          <w:spacing w:val="-11"/>
        </w:rPr>
        <w:t> </w:t>
      </w:r>
      <w:r>
        <w:rPr/>
        <w:t>Managing Executive for the Western Region ports, Captain Vernal Jones.</w:t>
      </w:r>
    </w:p>
    <w:p>
      <w:pPr>
        <w:pStyle w:val="BodyText"/>
        <w:spacing w:before="133"/>
      </w:pPr>
    </w:p>
    <w:p>
      <w:pPr>
        <w:pStyle w:val="Heading1"/>
        <w:spacing w:before="1"/>
      </w:pPr>
      <w:r>
        <w:rPr/>
        <w:t>-</w:t>
      </w:r>
      <w:r>
        <w:rPr>
          <w:spacing w:val="-2"/>
        </w:rPr>
        <w:t>ENDS-</w:t>
      </w:r>
    </w:p>
    <w:p>
      <w:pPr>
        <w:spacing w:before="133"/>
        <w:ind w:left="100" w:right="0" w:firstLine="0"/>
        <w:jc w:val="both"/>
        <w:rPr>
          <w:b/>
          <w:sz w:val="22"/>
        </w:rPr>
      </w:pPr>
      <w:r>
        <w:rPr>
          <w:b/>
          <w:sz w:val="22"/>
        </w:rPr>
        <w:t>About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Transnet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National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Ports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Authority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line="360" w:lineRule="auto"/>
        <w:ind w:left="100" w:right="114"/>
        <w:jc w:val="both"/>
      </w:pPr>
      <w:r>
        <w:rPr/>
        <w:t>Transnet National Ports Authority is responsible for the safe, effective, and efficient economic functioning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port</w:t>
      </w:r>
      <w:r>
        <w:rPr>
          <w:spacing w:val="-4"/>
        </w:rPr>
        <w:t> </w:t>
      </w:r>
      <w:r>
        <w:rPr/>
        <w:t>system,</w:t>
      </w:r>
      <w:r>
        <w:rPr>
          <w:spacing w:val="-1"/>
        </w:rPr>
        <w:t> </w:t>
      </w:r>
      <w:r>
        <w:rPr/>
        <w:t>which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manages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landlord</w:t>
      </w:r>
      <w:r>
        <w:rPr>
          <w:spacing w:val="-4"/>
        </w:rPr>
        <w:t> </w:t>
      </w:r>
      <w:r>
        <w:rPr/>
        <w:t>capacity.</w:t>
      </w:r>
      <w:r>
        <w:rPr>
          <w:spacing w:val="-1"/>
        </w:rPr>
        <w:t> </w:t>
      </w:r>
      <w:r>
        <w:rPr/>
        <w:t>It</w:t>
      </w:r>
      <w:r>
        <w:rPr>
          <w:spacing w:val="-4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port infrastructure and marine services at the eight commercial seaports in South Africa – Richards Bay, Durban, Saldanha, Cape Town, Port Elizabeth, East London, Mossel Bay and Ngqura. It operates within a legislative and regulatory environment and is governed by the National Ports Act (Act No. 12 of 2005).</w:t>
      </w:r>
    </w:p>
    <w:p>
      <w:pPr>
        <w:pStyle w:val="BodyText"/>
        <w:spacing w:before="161"/>
        <w:ind w:left="100"/>
        <w:jc w:val="both"/>
      </w:pPr>
      <w:r>
        <w:rPr/>
        <w:t>For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visit</w:t>
      </w:r>
      <w:r>
        <w:rPr>
          <w:spacing w:val="-2"/>
        </w:rPr>
        <w:t> </w:t>
      </w:r>
      <w:hyperlink r:id="rId5">
        <w:r>
          <w:rPr>
            <w:color w:val="0462C1"/>
            <w:spacing w:val="-2"/>
            <w:u w:val="single" w:color="0462C1"/>
          </w:rPr>
          <w:t>www.transnetnationalportsauthority.net</w:t>
        </w:r>
      </w:hyperlink>
    </w:p>
    <w:p>
      <w:pPr>
        <w:pStyle w:val="BodyText"/>
        <w:spacing w:before="28"/>
      </w:pPr>
    </w:p>
    <w:p>
      <w:pPr>
        <w:spacing w:before="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Issued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Transnet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National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Ports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Authority.</w:t>
      </w:r>
    </w:p>
    <w:p>
      <w:pPr>
        <w:pStyle w:val="BodyText"/>
        <w:spacing w:before="263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media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queries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email:</w:t>
      </w:r>
      <w:r>
        <w:rPr>
          <w:b/>
          <w:spacing w:val="-3"/>
          <w:sz w:val="22"/>
        </w:rPr>
        <w:t> </w:t>
      </w:r>
      <w:hyperlink r:id="rId6">
        <w:r>
          <w:rPr>
            <w:b/>
            <w:color w:val="0462C1"/>
            <w:spacing w:val="-2"/>
            <w:sz w:val="22"/>
            <w:u w:val="single" w:color="0462C1"/>
          </w:rPr>
          <w:t>TNPAMediaDesk@transnet.net</w:t>
        </w:r>
      </w:hyperlink>
    </w:p>
    <w:sectPr>
      <w:pgSz w:w="12240" w:h="15840"/>
      <w:pgMar w:top="3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ransnetnationalportsauthority.net/" TargetMode="External"/><Relationship Id="rId6" Type="http://schemas.openxmlformats.org/officeDocument/2006/relationships/hyperlink" Target="mailto:TNPAMediaDesk@transnet.ne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Mava Mgeyiya   Transnet National Ports Authority  JHB</dc:creator>
  <dcterms:created xsi:type="dcterms:W3CDTF">2024-02-28T06:14:18Z</dcterms:created>
  <dcterms:modified xsi:type="dcterms:W3CDTF">2024-02-28T06:14:18Z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for Microsoft 365</vt:lpwstr>
  </property>
</Properties>
</file>