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Heading1"/>
        <w:spacing w:before="101"/>
      </w:pPr>
      <w:r>
        <w:rPr/>
        <w:t>BOARD</w:t>
      </w:r>
      <w:r>
        <w:rPr>
          <w:spacing w:val="-8"/>
        </w:rPr>
        <w:t> </w:t>
      </w:r>
      <w:r>
        <w:rPr/>
        <w:t>UPDATE</w:t>
      </w:r>
      <w:r>
        <w:rPr>
          <w:spacing w:val="-8"/>
        </w:rPr>
        <w:t> </w:t>
      </w:r>
      <w:r>
        <w:rPr/>
        <w:t>ON</w:t>
      </w:r>
      <w:r>
        <w:rPr>
          <w:spacing w:val="-4"/>
        </w:rPr>
        <w:t> </w:t>
      </w:r>
      <w:r>
        <w:rPr/>
        <w:t>TURNAROUND</w:t>
      </w:r>
      <w:r>
        <w:rPr>
          <w:spacing w:val="-8"/>
        </w:rPr>
        <w:t> </w:t>
      </w:r>
      <w:r>
        <w:rPr/>
        <w:t>INITIATIVES</w:t>
      </w:r>
      <w:r>
        <w:rPr>
          <w:spacing w:val="-8"/>
        </w:rPr>
        <w:t> </w:t>
      </w:r>
      <w:r>
        <w:rPr/>
        <w:t>FOR</w:t>
      </w:r>
      <w:r>
        <w:rPr>
          <w:spacing w:val="-3"/>
        </w:rPr>
        <w:t> </w:t>
      </w:r>
      <w:r>
        <w:rPr/>
        <w:t>THE</w:t>
      </w:r>
      <w:r>
        <w:rPr>
          <w:spacing w:val="-4"/>
        </w:rPr>
        <w:t> </w:t>
      </w:r>
      <w:r>
        <w:rPr>
          <w:spacing w:val="-2"/>
        </w:rPr>
        <w:t>BUSINESS</w:t>
      </w:r>
    </w:p>
    <w:p>
      <w:pPr>
        <w:pStyle w:val="BodyText"/>
        <w:spacing w:before="178"/>
        <w:ind w:left="100" w:right="147"/>
      </w:pPr>
      <w:r>
        <w:rPr>
          <w:b/>
        </w:rPr>
        <w:t>[Johannesburg, 14 October 2023] </w:t>
      </w:r>
      <w:r>
        <w:rPr/>
        <w:t>The Board of Directors of Transnet SOC Ltd. (Transnet)</w:t>
      </w:r>
      <w:r>
        <w:rPr>
          <w:spacing w:val="-2"/>
        </w:rPr>
        <w:t> </w:t>
      </w:r>
      <w:r>
        <w:rPr/>
        <w:t>wishes</w:t>
      </w:r>
      <w:r>
        <w:rPr>
          <w:spacing w:val="-2"/>
        </w:rPr>
        <w:t> </w:t>
      </w:r>
      <w:r>
        <w:rPr/>
        <w:t>to</w:t>
      </w:r>
      <w:r>
        <w:rPr>
          <w:spacing w:val="-2"/>
        </w:rPr>
        <w:t> </w:t>
      </w:r>
      <w:r>
        <w:rPr/>
        <w:t>advise</w:t>
      </w:r>
      <w:r>
        <w:rPr>
          <w:spacing w:val="-3"/>
        </w:rPr>
        <w:t> </w:t>
      </w:r>
      <w:r>
        <w:rPr/>
        <w:t>that</w:t>
      </w:r>
      <w:r>
        <w:rPr>
          <w:spacing w:val="-1"/>
        </w:rPr>
        <w:t> </w:t>
      </w:r>
      <w:r>
        <w:rPr/>
        <w:t>the</w:t>
      </w:r>
      <w:r>
        <w:rPr>
          <w:spacing w:val="-5"/>
        </w:rPr>
        <w:t> </w:t>
      </w:r>
      <w:r>
        <w:rPr/>
        <w:t>development</w:t>
      </w:r>
      <w:r>
        <w:rPr>
          <w:spacing w:val="-4"/>
        </w:rPr>
        <w:t> </w:t>
      </w:r>
      <w:r>
        <w:rPr/>
        <w:t>of</w:t>
      </w:r>
      <w:r>
        <w:rPr>
          <w:spacing w:val="-2"/>
        </w:rPr>
        <w:t> </w:t>
      </w:r>
      <w:r>
        <w:rPr/>
        <w:t>a</w:t>
      </w:r>
      <w:r>
        <w:rPr>
          <w:spacing w:val="-2"/>
        </w:rPr>
        <w:t> </w:t>
      </w:r>
      <w:r>
        <w:rPr/>
        <w:t>turnaround</w:t>
      </w:r>
      <w:r>
        <w:rPr>
          <w:spacing w:val="-4"/>
        </w:rPr>
        <w:t> </w:t>
      </w:r>
      <w:r>
        <w:rPr/>
        <w:t>plan</w:t>
      </w:r>
      <w:r>
        <w:rPr>
          <w:spacing w:val="-3"/>
        </w:rPr>
        <w:t> </w:t>
      </w:r>
      <w:r>
        <w:rPr/>
        <w:t>for</w:t>
      </w:r>
      <w:r>
        <w:rPr>
          <w:spacing w:val="-5"/>
        </w:rPr>
        <w:t> </w:t>
      </w:r>
      <w:r>
        <w:rPr/>
        <w:t>the</w:t>
      </w:r>
      <w:r>
        <w:rPr>
          <w:spacing w:val="-3"/>
        </w:rPr>
        <w:t> </w:t>
      </w:r>
      <w:r>
        <w:rPr/>
        <w:t>business</w:t>
      </w:r>
      <w:r>
        <w:rPr>
          <w:spacing w:val="-2"/>
        </w:rPr>
        <w:t> </w:t>
      </w:r>
      <w:r>
        <w:rPr/>
        <w:t>has been completed and is expected to be submitted to the Shareholder next week.</w:t>
      </w:r>
    </w:p>
    <w:p>
      <w:pPr>
        <w:pStyle w:val="BodyText"/>
        <w:spacing w:before="1"/>
      </w:pPr>
    </w:p>
    <w:p>
      <w:pPr>
        <w:pStyle w:val="BodyText"/>
        <w:ind w:left="100" w:right="393"/>
      </w:pPr>
      <w:r>
        <w:rPr/>
        <w:t>To this end, the representative of the Board will meet next week with the Shareholder Ministry</w:t>
      </w:r>
      <w:r>
        <w:rPr>
          <w:spacing w:val="-1"/>
        </w:rPr>
        <w:t> </w:t>
      </w:r>
      <w:r>
        <w:rPr/>
        <w:t>as</w:t>
      </w:r>
      <w:r>
        <w:rPr>
          <w:spacing w:val="-5"/>
        </w:rPr>
        <w:t> </w:t>
      </w:r>
      <w:r>
        <w:rPr/>
        <w:t>well</w:t>
      </w:r>
      <w:r>
        <w:rPr>
          <w:spacing w:val="-2"/>
        </w:rPr>
        <w:t> </w:t>
      </w:r>
      <w:r>
        <w:rPr/>
        <w:t>as</w:t>
      </w:r>
      <w:r>
        <w:rPr>
          <w:spacing w:val="-5"/>
        </w:rPr>
        <w:t> </w:t>
      </w:r>
      <w:r>
        <w:rPr/>
        <w:t>the</w:t>
      </w:r>
      <w:r>
        <w:rPr>
          <w:spacing w:val="-3"/>
        </w:rPr>
        <w:t> </w:t>
      </w:r>
      <w:r>
        <w:rPr/>
        <w:t>Ministry</w:t>
      </w:r>
      <w:r>
        <w:rPr>
          <w:spacing w:val="-1"/>
        </w:rPr>
        <w:t> </w:t>
      </w:r>
      <w:r>
        <w:rPr/>
        <w:t>of</w:t>
      </w:r>
      <w:r>
        <w:rPr>
          <w:spacing w:val="-5"/>
        </w:rPr>
        <w:t> </w:t>
      </w:r>
      <w:r>
        <w:rPr/>
        <w:t>Finance</w:t>
      </w:r>
      <w:r>
        <w:rPr>
          <w:spacing w:val="-3"/>
        </w:rPr>
        <w:t> </w:t>
      </w:r>
      <w:r>
        <w:rPr/>
        <w:t>to</w:t>
      </w:r>
      <w:r>
        <w:rPr>
          <w:spacing w:val="-2"/>
        </w:rPr>
        <w:t> </w:t>
      </w:r>
      <w:r>
        <w:rPr/>
        <w:t>discuss</w:t>
      </w:r>
      <w:r>
        <w:rPr>
          <w:spacing w:val="-2"/>
        </w:rPr>
        <w:t> </w:t>
      </w:r>
      <w:r>
        <w:rPr/>
        <w:t>the</w:t>
      </w:r>
      <w:r>
        <w:rPr>
          <w:spacing w:val="-3"/>
        </w:rPr>
        <w:t> </w:t>
      </w:r>
      <w:r>
        <w:rPr/>
        <w:t>operational</w:t>
      </w:r>
      <w:r>
        <w:rPr>
          <w:spacing w:val="-2"/>
        </w:rPr>
        <w:t> </w:t>
      </w:r>
      <w:r>
        <w:rPr/>
        <w:t>and</w:t>
      </w:r>
      <w:r>
        <w:rPr>
          <w:spacing w:val="-1"/>
        </w:rPr>
        <w:t> </w:t>
      </w:r>
      <w:r>
        <w:rPr/>
        <w:t>financial</w:t>
      </w:r>
      <w:r>
        <w:rPr>
          <w:spacing w:val="-2"/>
        </w:rPr>
        <w:t> </w:t>
      </w:r>
      <w:r>
        <w:rPr/>
        <w:t>details of the business turnaround plan, including areas which require immediate Government </w:t>
      </w:r>
      <w:r>
        <w:rPr>
          <w:spacing w:val="-2"/>
        </w:rPr>
        <w:t>support.</w:t>
      </w:r>
    </w:p>
    <w:p>
      <w:pPr>
        <w:pStyle w:val="BodyText"/>
      </w:pPr>
    </w:p>
    <w:p>
      <w:pPr>
        <w:pStyle w:val="BodyText"/>
        <w:ind w:left="100" w:right="147"/>
      </w:pPr>
      <w:r>
        <w:rPr/>
        <w:t>Once</w:t>
      </w:r>
      <w:r>
        <w:rPr>
          <w:spacing w:val="-3"/>
        </w:rPr>
        <w:t> </w:t>
      </w:r>
      <w:r>
        <w:rPr/>
        <w:t>approved</w:t>
      </w:r>
      <w:r>
        <w:rPr>
          <w:spacing w:val="-4"/>
        </w:rPr>
        <w:t> </w:t>
      </w:r>
      <w:r>
        <w:rPr/>
        <w:t>by</w:t>
      </w:r>
      <w:r>
        <w:rPr>
          <w:spacing w:val="-4"/>
        </w:rPr>
        <w:t> </w:t>
      </w:r>
      <w:r>
        <w:rPr/>
        <w:t>the</w:t>
      </w:r>
      <w:r>
        <w:rPr>
          <w:spacing w:val="-3"/>
        </w:rPr>
        <w:t> </w:t>
      </w:r>
      <w:r>
        <w:rPr/>
        <w:t>Shareholder</w:t>
      </w:r>
      <w:r>
        <w:rPr>
          <w:spacing w:val="-2"/>
        </w:rPr>
        <w:t> </w:t>
      </w:r>
      <w:r>
        <w:rPr/>
        <w:t>and</w:t>
      </w:r>
      <w:r>
        <w:rPr>
          <w:spacing w:val="-1"/>
        </w:rPr>
        <w:t> </w:t>
      </w:r>
      <w:r>
        <w:rPr/>
        <w:t>funding</w:t>
      </w:r>
      <w:r>
        <w:rPr>
          <w:spacing w:val="-1"/>
        </w:rPr>
        <w:t> </w:t>
      </w:r>
      <w:r>
        <w:rPr/>
        <w:t>commitment</w:t>
      </w:r>
      <w:r>
        <w:rPr>
          <w:spacing w:val="-1"/>
        </w:rPr>
        <w:t> </w:t>
      </w:r>
      <w:r>
        <w:rPr/>
        <w:t>is</w:t>
      </w:r>
      <w:r>
        <w:rPr>
          <w:spacing w:val="-4"/>
        </w:rPr>
        <w:t> </w:t>
      </w:r>
      <w:r>
        <w:rPr/>
        <w:t>secured,</w:t>
      </w:r>
      <w:r>
        <w:rPr>
          <w:spacing w:val="-1"/>
        </w:rPr>
        <w:t> </w:t>
      </w:r>
      <w:r>
        <w:rPr/>
        <w:t>the</w:t>
      </w:r>
      <w:r>
        <w:rPr>
          <w:spacing w:val="-3"/>
        </w:rPr>
        <w:t> </w:t>
      </w:r>
      <w:r>
        <w:rPr/>
        <w:t>plan</w:t>
      </w:r>
      <w:r>
        <w:rPr>
          <w:spacing w:val="-3"/>
        </w:rPr>
        <w:t> </w:t>
      </w:r>
      <w:r>
        <w:rPr/>
        <w:t>will</w:t>
      </w:r>
      <w:r>
        <w:rPr>
          <w:spacing w:val="-2"/>
        </w:rPr>
        <w:t> </w:t>
      </w:r>
      <w:r>
        <w:rPr/>
        <w:t>be discussed with key stakeholders such as organised labour, employees, customers and </w:t>
      </w:r>
      <w:r>
        <w:rPr>
          <w:spacing w:val="-2"/>
        </w:rPr>
        <w:t>lenders.</w:t>
      </w:r>
    </w:p>
    <w:p>
      <w:pPr>
        <w:pStyle w:val="BodyText"/>
        <w:spacing w:before="1"/>
      </w:pPr>
    </w:p>
    <w:p>
      <w:pPr>
        <w:pStyle w:val="BodyText"/>
        <w:ind w:left="100" w:right="147"/>
      </w:pPr>
      <w:r>
        <w:rPr/>
        <w:t>The turnaround plan outlines operational and financial initiatives which must be implemented</w:t>
      </w:r>
      <w:r>
        <w:rPr>
          <w:spacing w:val="-2"/>
        </w:rPr>
        <w:t> </w:t>
      </w:r>
      <w:r>
        <w:rPr/>
        <w:t>in</w:t>
      </w:r>
      <w:r>
        <w:rPr>
          <w:spacing w:val="-2"/>
        </w:rPr>
        <w:t> </w:t>
      </w:r>
      <w:r>
        <w:rPr/>
        <w:t>the</w:t>
      </w:r>
      <w:r>
        <w:rPr>
          <w:spacing w:val="-3"/>
        </w:rPr>
        <w:t> </w:t>
      </w:r>
      <w:r>
        <w:rPr/>
        <w:t>next</w:t>
      </w:r>
      <w:r>
        <w:rPr>
          <w:spacing w:val="-4"/>
        </w:rPr>
        <w:t> </w:t>
      </w:r>
      <w:r>
        <w:rPr/>
        <w:t>six</w:t>
      </w:r>
      <w:r>
        <w:rPr>
          <w:spacing w:val="-1"/>
        </w:rPr>
        <w:t> </w:t>
      </w:r>
      <w:r>
        <w:rPr/>
        <w:t>(6),</w:t>
      </w:r>
      <w:r>
        <w:rPr>
          <w:spacing w:val="-4"/>
        </w:rPr>
        <w:t> </w:t>
      </w:r>
      <w:r>
        <w:rPr/>
        <w:t>twelve</w:t>
      </w:r>
      <w:r>
        <w:rPr>
          <w:spacing w:val="-3"/>
        </w:rPr>
        <w:t> </w:t>
      </w:r>
      <w:r>
        <w:rPr/>
        <w:t>(12)</w:t>
      </w:r>
      <w:r>
        <w:rPr>
          <w:spacing w:val="-2"/>
        </w:rPr>
        <w:t> </w:t>
      </w:r>
      <w:r>
        <w:rPr/>
        <w:t>and</w:t>
      </w:r>
      <w:r>
        <w:rPr>
          <w:spacing w:val="-6"/>
        </w:rPr>
        <w:t> </w:t>
      </w:r>
      <w:r>
        <w:rPr/>
        <w:t>eighteen</w:t>
      </w:r>
      <w:r>
        <w:rPr>
          <w:spacing w:val="-3"/>
        </w:rPr>
        <w:t> </w:t>
      </w:r>
      <w:r>
        <w:rPr/>
        <w:t>(18)</w:t>
      </w:r>
      <w:r>
        <w:rPr>
          <w:spacing w:val="-2"/>
        </w:rPr>
        <w:t> </w:t>
      </w:r>
      <w:r>
        <w:rPr/>
        <w:t>months</w:t>
      </w:r>
      <w:r>
        <w:rPr>
          <w:spacing w:val="-2"/>
        </w:rPr>
        <w:t> </w:t>
      </w:r>
      <w:r>
        <w:rPr/>
        <w:t>to</w:t>
      </w:r>
      <w:r>
        <w:rPr>
          <w:spacing w:val="-6"/>
        </w:rPr>
        <w:t> </w:t>
      </w:r>
      <w:r>
        <w:rPr/>
        <w:t>stabilise</w:t>
      </w:r>
      <w:r>
        <w:rPr>
          <w:spacing w:val="-4"/>
        </w:rPr>
        <w:t> </w:t>
      </w:r>
      <w:r>
        <w:rPr/>
        <w:t>the business and position the company for growth.</w:t>
      </w:r>
    </w:p>
    <w:p>
      <w:pPr>
        <w:pStyle w:val="BodyText"/>
        <w:spacing w:before="11"/>
        <w:rPr>
          <w:sz w:val="21"/>
        </w:rPr>
      </w:pPr>
    </w:p>
    <w:p>
      <w:pPr>
        <w:pStyle w:val="BodyText"/>
        <w:ind w:left="100"/>
      </w:pPr>
      <w:r>
        <w:rPr/>
        <w:t>The turnaround plan is predicated on several detailed goals to reform and strengthen the operational</w:t>
      </w:r>
      <w:r>
        <w:rPr>
          <w:spacing w:val="-2"/>
        </w:rPr>
        <w:t> </w:t>
      </w:r>
      <w:r>
        <w:rPr/>
        <w:t>state</w:t>
      </w:r>
      <w:r>
        <w:rPr>
          <w:spacing w:val="-2"/>
        </w:rPr>
        <w:t> </w:t>
      </w:r>
      <w:r>
        <w:rPr/>
        <w:t>of</w:t>
      </w:r>
      <w:r>
        <w:rPr>
          <w:spacing w:val="-2"/>
        </w:rPr>
        <w:t> </w:t>
      </w:r>
      <w:r>
        <w:rPr/>
        <w:t>the</w:t>
      </w:r>
      <w:r>
        <w:rPr>
          <w:spacing w:val="-3"/>
        </w:rPr>
        <w:t> </w:t>
      </w:r>
      <w:r>
        <w:rPr/>
        <w:t>freight</w:t>
      </w:r>
      <w:r>
        <w:rPr>
          <w:spacing w:val="-1"/>
        </w:rPr>
        <w:t> </w:t>
      </w:r>
      <w:r>
        <w:rPr/>
        <w:t>rail</w:t>
      </w:r>
      <w:r>
        <w:rPr>
          <w:spacing w:val="-2"/>
        </w:rPr>
        <w:t> </w:t>
      </w:r>
      <w:r>
        <w:rPr/>
        <w:t>division</w:t>
      </w:r>
      <w:r>
        <w:rPr>
          <w:spacing w:val="-3"/>
        </w:rPr>
        <w:t> </w:t>
      </w:r>
      <w:r>
        <w:rPr/>
        <w:t>in</w:t>
      </w:r>
      <w:r>
        <w:rPr>
          <w:spacing w:val="-5"/>
        </w:rPr>
        <w:t> </w:t>
      </w:r>
      <w:r>
        <w:rPr/>
        <w:t>particular,</w:t>
      </w:r>
      <w:r>
        <w:rPr>
          <w:spacing w:val="-2"/>
        </w:rPr>
        <w:t> </w:t>
      </w:r>
      <w:r>
        <w:rPr/>
        <w:t>and</w:t>
      </w:r>
      <w:r>
        <w:rPr>
          <w:spacing w:val="-1"/>
        </w:rPr>
        <w:t> </w:t>
      </w:r>
      <w:r>
        <w:rPr/>
        <w:t>with</w:t>
      </w:r>
      <w:r>
        <w:rPr>
          <w:spacing w:val="-2"/>
        </w:rPr>
        <w:t> </w:t>
      </w:r>
      <w:r>
        <w:rPr/>
        <w:t>priorities</w:t>
      </w:r>
      <w:r>
        <w:rPr>
          <w:spacing w:val="-5"/>
        </w:rPr>
        <w:t> </w:t>
      </w:r>
      <w:r>
        <w:rPr/>
        <w:t>of</w:t>
      </w:r>
      <w:r>
        <w:rPr>
          <w:spacing w:val="-2"/>
        </w:rPr>
        <w:t> </w:t>
      </w:r>
      <w:r>
        <w:rPr/>
        <w:t>key</w:t>
      </w:r>
      <w:r>
        <w:rPr>
          <w:spacing w:val="-4"/>
        </w:rPr>
        <w:t> </w:t>
      </w:r>
      <w:r>
        <w:rPr/>
        <w:t>elements, specifically the rail corridors that service key sectors of the economy.</w:t>
      </w:r>
    </w:p>
    <w:p>
      <w:pPr>
        <w:pStyle w:val="BodyText"/>
        <w:spacing w:before="1"/>
      </w:pPr>
    </w:p>
    <w:p>
      <w:pPr>
        <w:pStyle w:val="BodyText"/>
        <w:ind w:left="100"/>
      </w:pPr>
      <w:r>
        <w:rPr/>
        <w:t>The</w:t>
      </w:r>
      <w:r>
        <w:rPr>
          <w:spacing w:val="-5"/>
        </w:rPr>
        <w:t> </w:t>
      </w:r>
      <w:r>
        <w:rPr/>
        <w:t>turnaround</w:t>
      </w:r>
      <w:r>
        <w:rPr>
          <w:spacing w:val="-4"/>
        </w:rPr>
        <w:t> </w:t>
      </w:r>
      <w:r>
        <w:rPr/>
        <w:t>plan</w:t>
      </w:r>
      <w:r>
        <w:rPr>
          <w:spacing w:val="-7"/>
        </w:rPr>
        <w:t> </w:t>
      </w:r>
      <w:r>
        <w:rPr/>
        <w:t>is</w:t>
      </w:r>
      <w:r>
        <w:rPr>
          <w:spacing w:val="-4"/>
        </w:rPr>
        <w:t> </w:t>
      </w:r>
      <w:r>
        <w:rPr/>
        <w:t>premised</w:t>
      </w:r>
      <w:r>
        <w:rPr>
          <w:spacing w:val="-3"/>
        </w:rPr>
        <w:t> </w:t>
      </w:r>
      <w:r>
        <w:rPr/>
        <w:t>on</w:t>
      </w:r>
      <w:r>
        <w:rPr>
          <w:spacing w:val="-4"/>
        </w:rPr>
        <w:t> </w:t>
      </w:r>
      <w:r>
        <w:rPr/>
        <w:t>principles</w:t>
      </w:r>
      <w:r>
        <w:rPr>
          <w:spacing w:val="-4"/>
        </w:rPr>
        <w:t> </w:t>
      </w:r>
      <w:r>
        <w:rPr/>
        <w:t>which</w:t>
      </w:r>
      <w:r>
        <w:rPr>
          <w:spacing w:val="-4"/>
        </w:rPr>
        <w:t> </w:t>
      </w:r>
      <w:r>
        <w:rPr>
          <w:spacing w:val="-2"/>
        </w:rPr>
        <w:t>include:</w:t>
      </w:r>
    </w:p>
    <w:p>
      <w:pPr>
        <w:pStyle w:val="ListParagraph"/>
        <w:numPr>
          <w:ilvl w:val="0"/>
          <w:numId w:val="1"/>
        </w:numPr>
        <w:tabs>
          <w:tab w:pos="460" w:val="left" w:leader="none"/>
        </w:tabs>
        <w:spacing w:line="265" w:lineRule="exact" w:before="1" w:after="0"/>
        <w:ind w:left="460" w:right="0" w:hanging="360"/>
        <w:jc w:val="left"/>
        <w:rPr>
          <w:sz w:val="22"/>
        </w:rPr>
      </w:pPr>
      <w:r>
        <w:rPr>
          <w:sz w:val="22"/>
        </w:rPr>
        <w:t>The</w:t>
      </w:r>
      <w:r>
        <w:rPr>
          <w:spacing w:val="-7"/>
          <w:sz w:val="22"/>
        </w:rPr>
        <w:t> </w:t>
      </w:r>
      <w:r>
        <w:rPr>
          <w:sz w:val="22"/>
        </w:rPr>
        <w:t>balancing</w:t>
      </w:r>
      <w:r>
        <w:rPr>
          <w:spacing w:val="-3"/>
          <w:sz w:val="22"/>
        </w:rPr>
        <w:t> </w:t>
      </w:r>
      <w:r>
        <w:rPr>
          <w:sz w:val="22"/>
        </w:rPr>
        <w:t>of</w:t>
      </w:r>
      <w:r>
        <w:rPr>
          <w:spacing w:val="-6"/>
          <w:sz w:val="22"/>
        </w:rPr>
        <w:t> </w:t>
      </w:r>
      <w:r>
        <w:rPr>
          <w:sz w:val="22"/>
        </w:rPr>
        <w:t>the</w:t>
      </w:r>
      <w:r>
        <w:rPr>
          <w:spacing w:val="-5"/>
          <w:sz w:val="22"/>
        </w:rPr>
        <w:t> </w:t>
      </w:r>
      <w:r>
        <w:rPr>
          <w:sz w:val="22"/>
        </w:rPr>
        <w:t>financial</w:t>
      </w:r>
      <w:r>
        <w:rPr>
          <w:spacing w:val="-4"/>
          <w:sz w:val="22"/>
        </w:rPr>
        <w:t> </w:t>
      </w:r>
      <w:r>
        <w:rPr>
          <w:sz w:val="22"/>
        </w:rPr>
        <w:t>stability</w:t>
      </w:r>
      <w:r>
        <w:rPr>
          <w:spacing w:val="-5"/>
          <w:sz w:val="22"/>
        </w:rPr>
        <w:t> </w:t>
      </w:r>
      <w:r>
        <w:rPr>
          <w:sz w:val="22"/>
        </w:rPr>
        <w:t>and</w:t>
      </w:r>
      <w:r>
        <w:rPr>
          <w:spacing w:val="-6"/>
          <w:sz w:val="22"/>
        </w:rPr>
        <w:t> </w:t>
      </w:r>
      <w:r>
        <w:rPr>
          <w:sz w:val="22"/>
        </w:rPr>
        <w:t>the</w:t>
      </w:r>
      <w:r>
        <w:rPr>
          <w:spacing w:val="-4"/>
          <w:sz w:val="22"/>
        </w:rPr>
        <w:t> </w:t>
      </w:r>
      <w:r>
        <w:rPr>
          <w:sz w:val="22"/>
        </w:rPr>
        <w:t>operational</w:t>
      </w:r>
      <w:r>
        <w:rPr>
          <w:spacing w:val="-2"/>
          <w:sz w:val="22"/>
        </w:rPr>
        <w:t> </w:t>
      </w:r>
      <w:r>
        <w:rPr>
          <w:sz w:val="22"/>
        </w:rPr>
        <w:t>performance</w:t>
      </w:r>
      <w:r>
        <w:rPr>
          <w:spacing w:val="-5"/>
          <w:sz w:val="22"/>
        </w:rPr>
        <w:t> </w:t>
      </w:r>
      <w:r>
        <w:rPr>
          <w:sz w:val="22"/>
        </w:rPr>
        <w:t>of</w:t>
      </w:r>
      <w:r>
        <w:rPr>
          <w:spacing w:val="-4"/>
          <w:sz w:val="22"/>
        </w:rPr>
        <w:t> </w:t>
      </w:r>
      <w:r>
        <w:rPr>
          <w:sz w:val="22"/>
        </w:rPr>
        <w:t>the</w:t>
      </w:r>
      <w:r>
        <w:rPr>
          <w:spacing w:val="-4"/>
          <w:sz w:val="22"/>
        </w:rPr>
        <w:t> </w:t>
      </w:r>
      <w:r>
        <w:rPr>
          <w:spacing w:val="-2"/>
          <w:sz w:val="22"/>
        </w:rPr>
        <w:t>business</w:t>
      </w:r>
    </w:p>
    <w:p>
      <w:pPr>
        <w:pStyle w:val="ListParagraph"/>
        <w:numPr>
          <w:ilvl w:val="0"/>
          <w:numId w:val="1"/>
        </w:numPr>
        <w:tabs>
          <w:tab w:pos="460" w:val="left" w:leader="none"/>
        </w:tabs>
        <w:spacing w:line="265" w:lineRule="exact" w:before="0" w:after="0"/>
        <w:ind w:left="460" w:right="0" w:hanging="360"/>
        <w:jc w:val="left"/>
        <w:rPr>
          <w:sz w:val="22"/>
        </w:rPr>
      </w:pPr>
      <w:r>
        <w:rPr>
          <w:sz w:val="22"/>
        </w:rPr>
        <w:t>Improved</w:t>
      </w:r>
      <w:r>
        <w:rPr>
          <w:spacing w:val="-6"/>
          <w:sz w:val="22"/>
        </w:rPr>
        <w:t> </w:t>
      </w:r>
      <w:r>
        <w:rPr>
          <w:sz w:val="22"/>
        </w:rPr>
        <w:t>utilisation</w:t>
      </w:r>
      <w:r>
        <w:rPr>
          <w:spacing w:val="-3"/>
          <w:sz w:val="22"/>
        </w:rPr>
        <w:t> </w:t>
      </w:r>
      <w:r>
        <w:rPr>
          <w:sz w:val="22"/>
        </w:rPr>
        <w:t>and</w:t>
      </w:r>
      <w:r>
        <w:rPr>
          <w:spacing w:val="-7"/>
          <w:sz w:val="22"/>
        </w:rPr>
        <w:t> </w:t>
      </w:r>
      <w:r>
        <w:rPr>
          <w:sz w:val="22"/>
        </w:rPr>
        <w:t>care</w:t>
      </w:r>
      <w:r>
        <w:rPr>
          <w:spacing w:val="-6"/>
          <w:sz w:val="22"/>
        </w:rPr>
        <w:t> </w:t>
      </w:r>
      <w:r>
        <w:rPr>
          <w:sz w:val="22"/>
        </w:rPr>
        <w:t>for</w:t>
      </w:r>
      <w:r>
        <w:rPr>
          <w:spacing w:val="-3"/>
          <w:sz w:val="22"/>
        </w:rPr>
        <w:t> </w:t>
      </w:r>
      <w:r>
        <w:rPr>
          <w:sz w:val="22"/>
        </w:rPr>
        <w:t>operational</w:t>
      </w:r>
      <w:r>
        <w:rPr>
          <w:spacing w:val="-4"/>
          <w:sz w:val="22"/>
        </w:rPr>
        <w:t> </w:t>
      </w:r>
      <w:r>
        <w:rPr>
          <w:sz w:val="22"/>
        </w:rPr>
        <w:t>assets</w:t>
      </w:r>
      <w:r>
        <w:rPr>
          <w:spacing w:val="-2"/>
          <w:sz w:val="22"/>
        </w:rPr>
        <w:t> </w:t>
      </w:r>
      <w:r>
        <w:rPr>
          <w:sz w:val="22"/>
        </w:rPr>
        <w:t>and</w:t>
      </w:r>
      <w:r>
        <w:rPr>
          <w:spacing w:val="-2"/>
          <w:sz w:val="22"/>
        </w:rPr>
        <w:t> infrastructure.</w:t>
      </w:r>
    </w:p>
    <w:p>
      <w:pPr>
        <w:pStyle w:val="ListParagraph"/>
        <w:numPr>
          <w:ilvl w:val="0"/>
          <w:numId w:val="1"/>
        </w:numPr>
        <w:tabs>
          <w:tab w:pos="460" w:val="left" w:leader="none"/>
        </w:tabs>
        <w:spacing w:line="240" w:lineRule="auto" w:before="1" w:after="0"/>
        <w:ind w:left="460" w:right="0" w:hanging="360"/>
        <w:jc w:val="left"/>
        <w:rPr>
          <w:sz w:val="22"/>
        </w:rPr>
      </w:pPr>
      <w:r>
        <w:rPr>
          <w:sz w:val="22"/>
        </w:rPr>
        <w:t>Improved</w:t>
      </w:r>
      <w:r>
        <w:rPr>
          <w:spacing w:val="-8"/>
          <w:sz w:val="22"/>
        </w:rPr>
        <w:t> </w:t>
      </w:r>
      <w:r>
        <w:rPr>
          <w:sz w:val="22"/>
        </w:rPr>
        <w:t>integration</w:t>
      </w:r>
      <w:r>
        <w:rPr>
          <w:spacing w:val="-5"/>
          <w:sz w:val="22"/>
        </w:rPr>
        <w:t> </w:t>
      </w:r>
      <w:r>
        <w:rPr>
          <w:sz w:val="22"/>
        </w:rPr>
        <w:t>and</w:t>
      </w:r>
      <w:r>
        <w:rPr>
          <w:spacing w:val="-5"/>
          <w:sz w:val="22"/>
        </w:rPr>
        <w:t> </w:t>
      </w:r>
      <w:r>
        <w:rPr>
          <w:sz w:val="22"/>
        </w:rPr>
        <w:t>operation</w:t>
      </w:r>
      <w:r>
        <w:rPr>
          <w:spacing w:val="-8"/>
          <w:sz w:val="22"/>
        </w:rPr>
        <w:t> </w:t>
      </w:r>
      <w:r>
        <w:rPr>
          <w:sz w:val="22"/>
        </w:rPr>
        <w:t>execution</w:t>
      </w:r>
      <w:r>
        <w:rPr>
          <w:spacing w:val="-5"/>
          <w:sz w:val="22"/>
        </w:rPr>
        <w:t> </w:t>
      </w:r>
      <w:r>
        <w:rPr>
          <w:sz w:val="22"/>
        </w:rPr>
        <w:t>across</w:t>
      </w:r>
      <w:r>
        <w:rPr>
          <w:spacing w:val="-5"/>
          <w:sz w:val="22"/>
        </w:rPr>
        <w:t> </w:t>
      </w:r>
      <w:r>
        <w:rPr>
          <w:sz w:val="22"/>
        </w:rPr>
        <w:t>operating</w:t>
      </w:r>
      <w:r>
        <w:rPr>
          <w:spacing w:val="-7"/>
          <w:sz w:val="22"/>
        </w:rPr>
        <w:t> </w:t>
      </w:r>
      <w:r>
        <w:rPr>
          <w:spacing w:val="-2"/>
          <w:sz w:val="22"/>
        </w:rPr>
        <w:t>divisions.</w:t>
      </w:r>
    </w:p>
    <w:p>
      <w:pPr>
        <w:pStyle w:val="ListParagraph"/>
        <w:numPr>
          <w:ilvl w:val="0"/>
          <w:numId w:val="1"/>
        </w:numPr>
        <w:tabs>
          <w:tab w:pos="460" w:val="left" w:leader="none"/>
        </w:tabs>
        <w:spacing w:line="265" w:lineRule="exact" w:before="1" w:after="0"/>
        <w:ind w:left="460" w:right="0" w:hanging="360"/>
        <w:jc w:val="left"/>
        <w:rPr>
          <w:sz w:val="22"/>
        </w:rPr>
      </w:pPr>
      <w:r>
        <w:rPr>
          <w:sz w:val="22"/>
        </w:rPr>
        <w:t>Improved</w:t>
      </w:r>
      <w:r>
        <w:rPr>
          <w:spacing w:val="-8"/>
          <w:sz w:val="22"/>
        </w:rPr>
        <w:t> </w:t>
      </w:r>
      <w:r>
        <w:rPr>
          <w:sz w:val="22"/>
        </w:rPr>
        <w:t>employee</w:t>
      </w:r>
      <w:r>
        <w:rPr>
          <w:spacing w:val="-7"/>
          <w:sz w:val="22"/>
        </w:rPr>
        <w:t> </w:t>
      </w:r>
      <w:r>
        <w:rPr>
          <w:sz w:val="22"/>
        </w:rPr>
        <w:t>engagement</w:t>
      </w:r>
      <w:r>
        <w:rPr>
          <w:spacing w:val="-5"/>
          <w:sz w:val="22"/>
        </w:rPr>
        <w:t> </w:t>
      </w:r>
      <w:r>
        <w:rPr>
          <w:sz w:val="22"/>
        </w:rPr>
        <w:t>and</w:t>
      </w:r>
      <w:r>
        <w:rPr>
          <w:spacing w:val="-4"/>
          <w:sz w:val="22"/>
        </w:rPr>
        <w:t> </w:t>
      </w:r>
      <w:r>
        <w:rPr>
          <w:sz w:val="22"/>
        </w:rPr>
        <w:t>visible</w:t>
      </w:r>
      <w:r>
        <w:rPr>
          <w:spacing w:val="-6"/>
          <w:sz w:val="22"/>
        </w:rPr>
        <w:t> </w:t>
      </w:r>
      <w:r>
        <w:rPr>
          <w:sz w:val="22"/>
        </w:rPr>
        <w:t>management</w:t>
      </w:r>
      <w:r>
        <w:rPr>
          <w:spacing w:val="-4"/>
          <w:sz w:val="22"/>
        </w:rPr>
        <w:t> </w:t>
      </w:r>
      <w:r>
        <w:rPr>
          <w:sz w:val="22"/>
        </w:rPr>
        <w:t>at</w:t>
      </w:r>
      <w:r>
        <w:rPr>
          <w:spacing w:val="-4"/>
          <w:sz w:val="22"/>
        </w:rPr>
        <w:t> </w:t>
      </w:r>
      <w:r>
        <w:rPr>
          <w:spacing w:val="-2"/>
          <w:sz w:val="22"/>
        </w:rPr>
        <w:t>operations</w:t>
      </w:r>
    </w:p>
    <w:p>
      <w:pPr>
        <w:pStyle w:val="ListParagraph"/>
        <w:numPr>
          <w:ilvl w:val="0"/>
          <w:numId w:val="1"/>
        </w:numPr>
        <w:tabs>
          <w:tab w:pos="460" w:val="left" w:leader="none"/>
        </w:tabs>
        <w:spacing w:line="265" w:lineRule="exact" w:before="0" w:after="0"/>
        <w:ind w:left="460" w:right="0" w:hanging="360"/>
        <w:jc w:val="left"/>
        <w:rPr>
          <w:sz w:val="22"/>
        </w:rPr>
      </w:pPr>
      <w:r>
        <w:rPr>
          <w:sz w:val="22"/>
        </w:rPr>
        <w:t>The</w:t>
      </w:r>
      <w:r>
        <w:rPr>
          <w:spacing w:val="-7"/>
          <w:sz w:val="22"/>
        </w:rPr>
        <w:t> </w:t>
      </w:r>
      <w:r>
        <w:rPr>
          <w:sz w:val="22"/>
        </w:rPr>
        <w:t>development</w:t>
      </w:r>
      <w:r>
        <w:rPr>
          <w:spacing w:val="-7"/>
          <w:sz w:val="22"/>
        </w:rPr>
        <w:t> </w:t>
      </w:r>
      <w:r>
        <w:rPr>
          <w:sz w:val="22"/>
        </w:rPr>
        <w:t>of</w:t>
      </w:r>
      <w:r>
        <w:rPr>
          <w:spacing w:val="-5"/>
          <w:sz w:val="22"/>
        </w:rPr>
        <w:t> </w:t>
      </w:r>
      <w:r>
        <w:rPr>
          <w:sz w:val="22"/>
        </w:rPr>
        <w:t>a</w:t>
      </w:r>
      <w:r>
        <w:rPr>
          <w:spacing w:val="-5"/>
          <w:sz w:val="22"/>
        </w:rPr>
        <w:t> </w:t>
      </w:r>
      <w:r>
        <w:rPr>
          <w:sz w:val="22"/>
        </w:rPr>
        <w:t>deeper</w:t>
      </w:r>
      <w:r>
        <w:rPr>
          <w:spacing w:val="-6"/>
          <w:sz w:val="22"/>
        </w:rPr>
        <w:t> </w:t>
      </w:r>
      <w:r>
        <w:rPr>
          <w:sz w:val="22"/>
        </w:rPr>
        <w:t>accountability</w:t>
      </w:r>
      <w:r>
        <w:rPr>
          <w:spacing w:val="-4"/>
          <w:sz w:val="22"/>
        </w:rPr>
        <w:t> </w:t>
      </w:r>
      <w:r>
        <w:rPr>
          <w:spacing w:val="-2"/>
          <w:sz w:val="22"/>
        </w:rPr>
        <w:t>framework</w:t>
      </w:r>
    </w:p>
    <w:p>
      <w:pPr>
        <w:pStyle w:val="ListParagraph"/>
        <w:numPr>
          <w:ilvl w:val="0"/>
          <w:numId w:val="1"/>
        </w:numPr>
        <w:tabs>
          <w:tab w:pos="460" w:val="left" w:leader="none"/>
        </w:tabs>
        <w:spacing w:line="267" w:lineRule="exact" w:before="1" w:after="0"/>
        <w:ind w:left="460" w:right="0" w:hanging="360"/>
        <w:jc w:val="left"/>
        <w:rPr>
          <w:rFonts w:ascii="Arial" w:hAnsi="Arial"/>
          <w:sz w:val="22"/>
        </w:rPr>
      </w:pPr>
      <w:r>
        <w:rPr>
          <w:sz w:val="22"/>
        </w:rPr>
        <w:t>Cost</w:t>
      </w:r>
      <w:r>
        <w:rPr>
          <w:spacing w:val="-6"/>
          <w:sz w:val="22"/>
        </w:rPr>
        <w:t> </w:t>
      </w:r>
      <w:r>
        <w:rPr>
          <w:sz w:val="22"/>
        </w:rPr>
        <w:t>reduction</w:t>
      </w:r>
      <w:r>
        <w:rPr>
          <w:spacing w:val="-6"/>
          <w:sz w:val="22"/>
        </w:rPr>
        <w:t> </w:t>
      </w:r>
      <w:r>
        <w:rPr>
          <w:sz w:val="22"/>
        </w:rPr>
        <w:t>measures,</w:t>
      </w:r>
      <w:r>
        <w:rPr>
          <w:spacing w:val="-5"/>
          <w:sz w:val="22"/>
        </w:rPr>
        <w:t> </w:t>
      </w:r>
      <w:r>
        <w:rPr>
          <w:sz w:val="22"/>
        </w:rPr>
        <w:t>cashflow</w:t>
      </w:r>
      <w:r>
        <w:rPr>
          <w:spacing w:val="-6"/>
          <w:sz w:val="22"/>
        </w:rPr>
        <w:t> </w:t>
      </w:r>
      <w:r>
        <w:rPr>
          <w:sz w:val="22"/>
        </w:rPr>
        <w:t>and</w:t>
      </w:r>
      <w:r>
        <w:rPr>
          <w:spacing w:val="-5"/>
          <w:sz w:val="22"/>
        </w:rPr>
        <w:t> </w:t>
      </w:r>
      <w:r>
        <w:rPr>
          <w:sz w:val="22"/>
        </w:rPr>
        <w:t>working</w:t>
      </w:r>
      <w:r>
        <w:rPr>
          <w:spacing w:val="-5"/>
          <w:sz w:val="22"/>
        </w:rPr>
        <w:t> </w:t>
      </w:r>
      <w:r>
        <w:rPr>
          <w:sz w:val="22"/>
        </w:rPr>
        <w:t>capital</w:t>
      </w:r>
      <w:r>
        <w:rPr>
          <w:spacing w:val="-5"/>
          <w:sz w:val="22"/>
        </w:rPr>
        <w:t> </w:t>
      </w:r>
      <w:r>
        <w:rPr>
          <w:spacing w:val="-2"/>
          <w:sz w:val="22"/>
        </w:rPr>
        <w:t>improvements</w:t>
      </w:r>
    </w:p>
    <w:p>
      <w:pPr>
        <w:pStyle w:val="ListParagraph"/>
        <w:numPr>
          <w:ilvl w:val="0"/>
          <w:numId w:val="1"/>
        </w:numPr>
        <w:tabs>
          <w:tab w:pos="460" w:val="left" w:leader="none"/>
        </w:tabs>
        <w:spacing w:line="240" w:lineRule="auto" w:before="0" w:after="0"/>
        <w:ind w:left="460" w:right="740" w:hanging="360"/>
        <w:jc w:val="left"/>
        <w:rPr>
          <w:sz w:val="22"/>
        </w:rPr>
      </w:pPr>
      <w:r>
        <w:rPr>
          <w:sz w:val="22"/>
        </w:rPr>
        <w:t>Continuous</w:t>
      </w:r>
      <w:r>
        <w:rPr>
          <w:spacing w:val="-4"/>
          <w:sz w:val="22"/>
        </w:rPr>
        <w:t> </w:t>
      </w:r>
      <w:r>
        <w:rPr>
          <w:sz w:val="22"/>
        </w:rPr>
        <w:t>engagement</w:t>
      </w:r>
      <w:r>
        <w:rPr>
          <w:spacing w:val="-6"/>
          <w:sz w:val="22"/>
        </w:rPr>
        <w:t> </w:t>
      </w:r>
      <w:r>
        <w:rPr>
          <w:sz w:val="22"/>
        </w:rPr>
        <w:t>and</w:t>
      </w:r>
      <w:r>
        <w:rPr>
          <w:spacing w:val="-2"/>
          <w:sz w:val="22"/>
        </w:rPr>
        <w:t> </w:t>
      </w:r>
      <w:r>
        <w:rPr>
          <w:sz w:val="22"/>
        </w:rPr>
        <w:t>collaboration</w:t>
      </w:r>
      <w:r>
        <w:rPr>
          <w:spacing w:val="-7"/>
          <w:sz w:val="22"/>
        </w:rPr>
        <w:t> </w:t>
      </w:r>
      <w:r>
        <w:rPr>
          <w:sz w:val="22"/>
        </w:rPr>
        <w:t>with</w:t>
      </w:r>
      <w:r>
        <w:rPr>
          <w:spacing w:val="-4"/>
          <w:sz w:val="22"/>
        </w:rPr>
        <w:t> </w:t>
      </w:r>
      <w:r>
        <w:rPr>
          <w:sz w:val="22"/>
        </w:rPr>
        <w:t>all</w:t>
      </w:r>
      <w:r>
        <w:rPr>
          <w:spacing w:val="-7"/>
          <w:sz w:val="22"/>
        </w:rPr>
        <w:t> </w:t>
      </w:r>
      <w:r>
        <w:rPr>
          <w:sz w:val="22"/>
        </w:rPr>
        <w:t>relevant</w:t>
      </w:r>
      <w:r>
        <w:rPr>
          <w:spacing w:val="-3"/>
          <w:sz w:val="22"/>
        </w:rPr>
        <w:t> </w:t>
      </w:r>
      <w:r>
        <w:rPr>
          <w:sz w:val="22"/>
        </w:rPr>
        <w:t>stakeholders,</w:t>
      </w:r>
      <w:r>
        <w:rPr>
          <w:spacing w:val="-4"/>
          <w:sz w:val="22"/>
        </w:rPr>
        <w:t> </w:t>
      </w:r>
      <w:r>
        <w:rPr>
          <w:sz w:val="22"/>
        </w:rPr>
        <w:t>including organised labour, customers, funders, government and industry</w:t>
      </w:r>
    </w:p>
    <w:p>
      <w:pPr>
        <w:pStyle w:val="BodyText"/>
        <w:spacing w:before="11"/>
        <w:rPr>
          <w:sz w:val="21"/>
        </w:rPr>
      </w:pPr>
    </w:p>
    <w:p>
      <w:pPr>
        <w:pStyle w:val="BodyText"/>
        <w:spacing w:before="1"/>
        <w:ind w:left="100"/>
      </w:pPr>
      <w:r>
        <w:rPr/>
        <w:t>The</w:t>
      </w:r>
      <w:r>
        <w:rPr>
          <w:spacing w:val="-3"/>
        </w:rPr>
        <w:t> </w:t>
      </w:r>
      <w:r>
        <w:rPr/>
        <w:t>Board</w:t>
      </w:r>
      <w:r>
        <w:rPr>
          <w:spacing w:val="-1"/>
        </w:rPr>
        <w:t> </w:t>
      </w:r>
      <w:r>
        <w:rPr/>
        <w:t>has</w:t>
      </w:r>
      <w:r>
        <w:rPr>
          <w:spacing w:val="-4"/>
        </w:rPr>
        <w:t> </w:t>
      </w:r>
      <w:r>
        <w:rPr/>
        <w:t>prioritised</w:t>
      </w:r>
      <w:r>
        <w:rPr>
          <w:spacing w:val="-4"/>
        </w:rPr>
        <w:t> </w:t>
      </w:r>
      <w:r>
        <w:rPr/>
        <w:t>the</w:t>
      </w:r>
      <w:r>
        <w:rPr>
          <w:spacing w:val="-3"/>
        </w:rPr>
        <w:t> </w:t>
      </w:r>
      <w:r>
        <w:rPr/>
        <w:t>filling</w:t>
      </w:r>
      <w:r>
        <w:rPr>
          <w:spacing w:val="-1"/>
        </w:rPr>
        <w:t> </w:t>
      </w:r>
      <w:r>
        <w:rPr/>
        <w:t>of</w:t>
      </w:r>
      <w:r>
        <w:rPr>
          <w:spacing w:val="-5"/>
        </w:rPr>
        <w:t> </w:t>
      </w:r>
      <w:r>
        <w:rPr/>
        <w:t>the</w:t>
      </w:r>
      <w:r>
        <w:rPr>
          <w:spacing w:val="-3"/>
        </w:rPr>
        <w:t> </w:t>
      </w:r>
      <w:r>
        <w:rPr/>
        <w:t>three</w:t>
      </w:r>
      <w:r>
        <w:rPr>
          <w:spacing w:val="-3"/>
        </w:rPr>
        <w:t> </w:t>
      </w:r>
      <w:r>
        <w:rPr/>
        <w:t>executive</w:t>
      </w:r>
      <w:r>
        <w:rPr>
          <w:spacing w:val="-3"/>
        </w:rPr>
        <w:t> </w:t>
      </w:r>
      <w:r>
        <w:rPr/>
        <w:t>positions</w:t>
      </w:r>
      <w:r>
        <w:rPr>
          <w:spacing w:val="-2"/>
        </w:rPr>
        <w:t> </w:t>
      </w:r>
      <w:r>
        <w:rPr/>
        <w:t>in</w:t>
      </w:r>
      <w:r>
        <w:rPr>
          <w:spacing w:val="-5"/>
        </w:rPr>
        <w:t> </w:t>
      </w:r>
      <w:r>
        <w:rPr/>
        <w:t>the</w:t>
      </w:r>
      <w:r>
        <w:rPr>
          <w:spacing w:val="-5"/>
        </w:rPr>
        <w:t> </w:t>
      </w:r>
      <w:r>
        <w:rPr/>
        <w:t>business,</w:t>
      </w:r>
      <w:r>
        <w:rPr>
          <w:spacing w:val="-2"/>
        </w:rPr>
        <w:t> </w:t>
      </w:r>
      <w:r>
        <w:rPr/>
        <w:t>with</w:t>
      </w:r>
      <w:r>
        <w:rPr>
          <w:spacing w:val="-4"/>
        </w:rPr>
        <w:t> </w:t>
      </w:r>
      <w:r>
        <w:rPr/>
        <w:t>the recruitment process having commenced this past week. The recruitment process is being prioritised for urgent finalisation, given the criticality of these positions to the organisation, and the lead role the incumbents will play in execution of the turnaround plan.</w:t>
      </w:r>
    </w:p>
    <w:p>
      <w:pPr>
        <w:pStyle w:val="BodyText"/>
        <w:spacing w:before="11"/>
        <w:rPr>
          <w:sz w:val="21"/>
        </w:rPr>
      </w:pPr>
    </w:p>
    <w:p>
      <w:pPr>
        <w:pStyle w:val="BodyText"/>
        <w:ind w:left="100"/>
      </w:pPr>
      <w:r>
        <w:rPr/>
        <w:t>The</w:t>
      </w:r>
      <w:r>
        <w:rPr>
          <w:spacing w:val="-3"/>
        </w:rPr>
        <w:t> </w:t>
      </w:r>
      <w:r>
        <w:rPr/>
        <w:t>Board</w:t>
      </w:r>
      <w:r>
        <w:rPr>
          <w:spacing w:val="-2"/>
        </w:rPr>
        <w:t> </w:t>
      </w:r>
      <w:r>
        <w:rPr/>
        <w:t>also</w:t>
      </w:r>
      <w:r>
        <w:rPr>
          <w:spacing w:val="-4"/>
        </w:rPr>
        <w:t> </w:t>
      </w:r>
      <w:r>
        <w:rPr/>
        <w:t>continues</w:t>
      </w:r>
      <w:r>
        <w:rPr>
          <w:spacing w:val="-5"/>
        </w:rPr>
        <w:t> </w:t>
      </w:r>
      <w:r>
        <w:rPr/>
        <w:t>to</w:t>
      </w:r>
      <w:r>
        <w:rPr>
          <w:spacing w:val="-3"/>
        </w:rPr>
        <w:t> </w:t>
      </w:r>
      <w:r>
        <w:rPr/>
        <w:t>work</w:t>
      </w:r>
      <w:r>
        <w:rPr>
          <w:spacing w:val="-2"/>
        </w:rPr>
        <w:t> </w:t>
      </w:r>
      <w:r>
        <w:rPr/>
        <w:t>closely</w:t>
      </w:r>
      <w:r>
        <w:rPr>
          <w:spacing w:val="-4"/>
        </w:rPr>
        <w:t> </w:t>
      </w:r>
      <w:r>
        <w:rPr/>
        <w:t>and</w:t>
      </w:r>
      <w:r>
        <w:rPr>
          <w:spacing w:val="-1"/>
        </w:rPr>
        <w:t> </w:t>
      </w:r>
      <w:r>
        <w:rPr/>
        <w:t>collaboratively</w:t>
      </w:r>
      <w:r>
        <w:rPr>
          <w:spacing w:val="-4"/>
        </w:rPr>
        <w:t> </w:t>
      </w:r>
      <w:r>
        <w:rPr/>
        <w:t>with</w:t>
      </w:r>
      <w:r>
        <w:rPr>
          <w:spacing w:val="-3"/>
        </w:rPr>
        <w:t> </w:t>
      </w:r>
      <w:r>
        <w:rPr/>
        <w:t>stakeholders,</w:t>
      </w:r>
      <w:r>
        <w:rPr>
          <w:spacing w:val="-3"/>
        </w:rPr>
        <w:t> </w:t>
      </w:r>
      <w:r>
        <w:rPr/>
        <w:t>including</w:t>
      </w:r>
      <w:r>
        <w:rPr>
          <w:spacing w:val="-2"/>
        </w:rPr>
        <w:t> </w:t>
      </w:r>
      <w:r>
        <w:rPr/>
        <w:t>the National Logistics Crisis Committee (NLCC).</w:t>
      </w:r>
    </w:p>
    <w:p>
      <w:pPr>
        <w:pStyle w:val="BodyText"/>
        <w:spacing w:before="1"/>
      </w:pPr>
    </w:p>
    <w:p>
      <w:pPr>
        <w:pStyle w:val="BodyText"/>
        <w:ind w:left="100"/>
      </w:pPr>
      <w:r>
        <w:rPr/>
        <w:t>The</w:t>
      </w:r>
      <w:r>
        <w:rPr>
          <w:spacing w:val="-7"/>
        </w:rPr>
        <w:t> </w:t>
      </w:r>
      <w:r>
        <w:rPr/>
        <w:t>Board</w:t>
      </w:r>
      <w:r>
        <w:rPr>
          <w:spacing w:val="-3"/>
        </w:rPr>
        <w:t> </w:t>
      </w:r>
      <w:r>
        <w:rPr/>
        <w:t>will</w:t>
      </w:r>
      <w:r>
        <w:rPr>
          <w:spacing w:val="-7"/>
        </w:rPr>
        <w:t> </w:t>
      </w:r>
      <w:r>
        <w:rPr/>
        <w:t>provide</w:t>
      </w:r>
      <w:r>
        <w:rPr>
          <w:spacing w:val="-5"/>
        </w:rPr>
        <w:t> </w:t>
      </w:r>
      <w:r>
        <w:rPr/>
        <w:t>further</w:t>
      </w:r>
      <w:r>
        <w:rPr>
          <w:spacing w:val="-3"/>
        </w:rPr>
        <w:t> </w:t>
      </w:r>
      <w:r>
        <w:rPr/>
        <w:t>updates</w:t>
      </w:r>
      <w:r>
        <w:rPr>
          <w:spacing w:val="-4"/>
        </w:rPr>
        <w:t> </w:t>
      </w:r>
      <w:r>
        <w:rPr/>
        <w:t>in</w:t>
      </w:r>
      <w:r>
        <w:rPr>
          <w:spacing w:val="-7"/>
        </w:rPr>
        <w:t> </w:t>
      </w:r>
      <w:r>
        <w:rPr/>
        <w:t>the</w:t>
      </w:r>
      <w:r>
        <w:rPr>
          <w:spacing w:val="-5"/>
        </w:rPr>
        <w:t> </w:t>
      </w:r>
      <w:r>
        <w:rPr/>
        <w:t>coming</w:t>
      </w:r>
      <w:r>
        <w:rPr>
          <w:spacing w:val="-2"/>
        </w:rPr>
        <w:t> weeks.</w:t>
      </w:r>
    </w:p>
    <w:p>
      <w:pPr>
        <w:pStyle w:val="BodyText"/>
        <w:rPr>
          <w:sz w:val="26"/>
        </w:rPr>
      </w:pPr>
    </w:p>
    <w:p>
      <w:pPr>
        <w:pStyle w:val="BodyText"/>
        <w:spacing w:before="1"/>
        <w:rPr>
          <w:sz w:val="33"/>
        </w:rPr>
      </w:pPr>
    </w:p>
    <w:p>
      <w:pPr>
        <w:pStyle w:val="Heading1"/>
        <w:spacing w:line="403" w:lineRule="auto"/>
      </w:pPr>
      <w:r>
        <w:rPr/>
        <w:t>Issued</w:t>
      </w:r>
      <w:r>
        <w:rPr>
          <w:spacing w:val="-2"/>
        </w:rPr>
        <w:t> </w:t>
      </w:r>
      <w:r>
        <w:rPr/>
        <w:t>on</w:t>
      </w:r>
      <w:r>
        <w:rPr>
          <w:spacing w:val="-4"/>
        </w:rPr>
        <w:t> </w:t>
      </w:r>
      <w:r>
        <w:rPr/>
        <w:t>behalf</w:t>
      </w:r>
      <w:r>
        <w:rPr>
          <w:spacing w:val="-2"/>
        </w:rPr>
        <w:t> </w:t>
      </w:r>
      <w:r>
        <w:rPr/>
        <w:t>of</w:t>
      </w:r>
      <w:r>
        <w:rPr>
          <w:spacing w:val="-3"/>
        </w:rPr>
        <w:t> </w:t>
      </w:r>
      <w:r>
        <w:rPr/>
        <w:t>the Chairperson</w:t>
      </w:r>
      <w:r>
        <w:rPr>
          <w:spacing w:val="-4"/>
        </w:rPr>
        <w:t> </w:t>
      </w:r>
      <w:r>
        <w:rPr/>
        <w:t>of</w:t>
      </w:r>
      <w:r>
        <w:rPr>
          <w:spacing w:val="-2"/>
        </w:rPr>
        <w:t> </w:t>
      </w:r>
      <w:r>
        <w:rPr/>
        <w:t>the</w:t>
      </w:r>
      <w:r>
        <w:rPr>
          <w:spacing w:val="-4"/>
        </w:rPr>
        <w:t> </w:t>
      </w:r>
      <w:r>
        <w:rPr/>
        <w:t>Board</w:t>
      </w:r>
      <w:r>
        <w:rPr>
          <w:spacing w:val="-4"/>
        </w:rPr>
        <w:t> </w:t>
      </w:r>
      <w:r>
        <w:rPr/>
        <w:t>of</w:t>
      </w:r>
      <w:r>
        <w:rPr>
          <w:spacing w:val="-1"/>
        </w:rPr>
        <w:t> </w:t>
      </w:r>
      <w:r>
        <w:rPr/>
        <w:t>Directors,</w:t>
      </w:r>
      <w:r>
        <w:rPr>
          <w:spacing w:val="-2"/>
        </w:rPr>
        <w:t> </w:t>
      </w:r>
      <w:r>
        <w:rPr/>
        <w:t>Mr</w:t>
      </w:r>
      <w:r>
        <w:rPr>
          <w:spacing w:val="-4"/>
        </w:rPr>
        <w:t> </w:t>
      </w:r>
      <w:r>
        <w:rPr/>
        <w:t>Andile</w:t>
      </w:r>
      <w:r>
        <w:rPr>
          <w:spacing w:val="-1"/>
        </w:rPr>
        <w:t> </w:t>
      </w:r>
      <w:r>
        <w:rPr/>
        <w:t>Sangqu. For media enquiries please contact:</w:t>
      </w:r>
    </w:p>
    <w:p>
      <w:pPr>
        <w:spacing w:after="0" w:line="403" w:lineRule="auto"/>
        <w:sectPr>
          <w:type w:val="continuous"/>
          <w:pgSz w:w="11910" w:h="16840"/>
          <w:pgMar w:top="780" w:bottom="280" w:left="1340" w:right="1360"/>
        </w:sectPr>
      </w:pPr>
    </w:p>
    <w:p>
      <w:pPr>
        <w:pStyle w:val="BodyText"/>
        <w:spacing w:before="82"/>
        <w:ind w:left="100"/>
      </w:pPr>
      <w:hyperlink r:id="rId5">
        <w:r>
          <w:rPr>
            <w:color w:val="0462C1"/>
            <w:spacing w:val="-2"/>
            <w:u w:val="single" w:color="0462C1"/>
          </w:rPr>
          <w:t>mediadesk@transnet.net</w:t>
        </w:r>
      </w:hyperlink>
    </w:p>
    <w:sectPr>
      <w:pgSz w:w="11910" w:h="16840"/>
      <w:pgMar w:top="134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0" w:hanging="360"/>
      </w:pPr>
      <w:rPr>
        <w:rFonts w:hint="default" w:ascii="Tahoma" w:hAnsi="Tahoma" w:eastAsia="Tahoma" w:cs="Tahoma"/>
        <w:spacing w:val="0"/>
        <w:w w:val="100"/>
        <w:lang w:val="en-US" w:eastAsia="en-US" w:bidi="ar-SA"/>
      </w:rPr>
    </w:lvl>
    <w:lvl w:ilvl="1">
      <w:start w:val="0"/>
      <w:numFmt w:val="bullet"/>
      <w:lvlText w:val="•"/>
      <w:lvlJc w:val="left"/>
      <w:pPr>
        <w:ind w:left="1334" w:hanging="360"/>
      </w:pPr>
      <w:rPr>
        <w:rFonts w:hint="default"/>
        <w:lang w:val="en-US" w:eastAsia="en-US" w:bidi="ar-SA"/>
      </w:rPr>
    </w:lvl>
    <w:lvl w:ilvl="2">
      <w:start w:val="0"/>
      <w:numFmt w:val="bullet"/>
      <w:lvlText w:val="•"/>
      <w:lvlJc w:val="left"/>
      <w:pPr>
        <w:ind w:left="2209" w:hanging="360"/>
      </w:pPr>
      <w:rPr>
        <w:rFonts w:hint="default"/>
        <w:lang w:val="en-US" w:eastAsia="en-US" w:bidi="ar-SA"/>
      </w:rPr>
    </w:lvl>
    <w:lvl w:ilvl="3">
      <w:start w:val="0"/>
      <w:numFmt w:val="bullet"/>
      <w:lvlText w:val="•"/>
      <w:lvlJc w:val="left"/>
      <w:pPr>
        <w:ind w:left="3083" w:hanging="360"/>
      </w:pPr>
      <w:rPr>
        <w:rFonts w:hint="default"/>
        <w:lang w:val="en-US" w:eastAsia="en-US" w:bidi="ar-SA"/>
      </w:rPr>
    </w:lvl>
    <w:lvl w:ilvl="4">
      <w:start w:val="0"/>
      <w:numFmt w:val="bullet"/>
      <w:lvlText w:val="•"/>
      <w:lvlJc w:val="left"/>
      <w:pPr>
        <w:ind w:left="3958" w:hanging="360"/>
      </w:pPr>
      <w:rPr>
        <w:rFonts w:hint="default"/>
        <w:lang w:val="en-US" w:eastAsia="en-US" w:bidi="ar-SA"/>
      </w:rPr>
    </w:lvl>
    <w:lvl w:ilvl="5">
      <w:start w:val="0"/>
      <w:numFmt w:val="bullet"/>
      <w:lvlText w:val="•"/>
      <w:lvlJc w:val="left"/>
      <w:pPr>
        <w:ind w:left="4833" w:hanging="360"/>
      </w:pPr>
      <w:rPr>
        <w:rFonts w:hint="default"/>
        <w:lang w:val="en-US" w:eastAsia="en-US" w:bidi="ar-SA"/>
      </w:rPr>
    </w:lvl>
    <w:lvl w:ilvl="6">
      <w:start w:val="0"/>
      <w:numFmt w:val="bullet"/>
      <w:lvlText w:val="•"/>
      <w:lvlJc w:val="left"/>
      <w:pPr>
        <w:ind w:left="570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5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2"/>
      <w:szCs w:val="22"/>
      <w:lang w:val="en-US" w:eastAsia="en-US" w:bidi="ar-SA"/>
    </w:rPr>
  </w:style>
  <w:style w:styleId="Heading1" w:type="paragraph">
    <w:name w:val="Heading 1"/>
    <w:basedOn w:val="Normal"/>
    <w:uiPriority w:val="1"/>
    <w:qFormat/>
    <w:pPr>
      <w:ind w:left="100"/>
      <w:outlineLvl w:val="1"/>
    </w:pPr>
    <w:rPr>
      <w:rFonts w:ascii="Tahoma" w:hAnsi="Tahoma" w:eastAsia="Tahoma" w:cs="Tahoma"/>
      <w:b/>
      <w:bCs/>
      <w:sz w:val="22"/>
      <w:szCs w:val="22"/>
      <w:lang w:val="en-US" w:eastAsia="en-US" w:bidi="ar-SA"/>
    </w:rPr>
  </w:style>
  <w:style w:styleId="ListParagraph" w:type="paragraph">
    <w:name w:val="List Paragraph"/>
    <w:basedOn w:val="Normal"/>
    <w:uiPriority w:val="1"/>
    <w:qFormat/>
    <w:pPr>
      <w:spacing w:before="1" w:line="265" w:lineRule="exact"/>
      <w:ind w:left="460" w:hanging="360"/>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ediadesk@transnet.ne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Ayanda  Shezi   Transnet Corporate   Johannesburg</dc:creator>
  <dcterms:created xsi:type="dcterms:W3CDTF">2023-10-14T15:25:58Z</dcterms:created>
  <dcterms:modified xsi:type="dcterms:W3CDTF">2023-10-14T15:25:58Z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2023-10-14T00:00:00Z</vt:filetime>
  </property>
  <property fmtid="{D5CDD505-2E9C-101B-9397-08002B2CF9AE}" pid="5" name="Producer">
    <vt:lpwstr>Microsoft® Word for Microsoft 365</vt:lpwstr>
  </property>
</Properties>
</file>